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先进制造业集群发展的重点方向和领域</w:t>
      </w:r>
      <w:bookmarkEnd w:id="0"/>
    </w:p>
    <w:p>
      <w:pPr>
        <w:ind w:right="776" w:firstLine="0"/>
        <w:rPr>
          <w:rFonts w:hint="eastAsia" w:eastAsia="方正黑体_GBK"/>
        </w:rPr>
      </w:pPr>
    </w:p>
    <w:tbl>
      <w:tblPr>
        <w:tblStyle w:val="2"/>
        <w:tblW w:w="88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47"/>
        <w:gridCol w:w="5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集群</w:t>
            </w:r>
          </w:p>
        </w:tc>
        <w:tc>
          <w:tcPr>
            <w:tcW w:w="5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重点方向和领域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新型电力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和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智能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电网、特高压设备、晶硅光伏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风电装备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氢能装备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工程机械和农业机械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起重机械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挖掘机械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路面机械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应急机械和农业机械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北斗导航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信息感知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传输组网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处理应用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高端新材料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先进碳材料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纳米新材料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先进电子材料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特钢材料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化工新材料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高端纺织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化学纤维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品牌服装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家用纺织品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、产业纺织品。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生物医药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生物药、化学药、现代中药。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新型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高性能诊疗设备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体外诊断设备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医用机器人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高端植介入耗材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生命支持设备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集成电路与新型显示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集成电路、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新型显示。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信息通信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移动通信、光通信、未来网络。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（智能网联）汽车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智能网联汽车、动力电池、氢燃料电池、充换电网络。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高档数控机床、智能机器人、轨道交通装备、民用航空航天装备、特色专用装备。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高技术船舶和海洋工程装备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高技术船舶、豪华游轮、海洋工程装备。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节能环保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高级节能装备、水污染防治设备、大气污染防治设备、固体废弃物处理设备。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绿色食品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酿造食品、肉制食品、功能食品。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核心软件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工业软件、基础软件、信息安全软件、信息技术应用创新。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新兴数字产业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大数据云计算、人工智能、区块链。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3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2022-08-18T09:11:26Z</dcterms:created>
  <dc:creator>陈钟文</dc:creator>
  <cp:lastModifiedBy>陈钟文</cp:lastModifiedBy>
  <dcterms:modified xsi:type="dcterms:W3CDTF">2022-08-18T09:11:37Z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